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51FC" w:rsidR="00D5547E" w:rsidP="004A6D2F" w:rsidRDefault="00D5547E" w14:paraId="3A2EDFC9" w14:textId="77777777" w14:noSpellErr="1"/>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tcPr>
          <w:p w:rsidRPr="00F95BC9" w:rsidR="00F445B1" w:rsidP="004A6D2F" w:rsidRDefault="00DB7AD7" w14:paraId="017518DB" w14:textId="058FB4BA">
            <w:pPr>
              <w:rPr>
                <w:rStyle w:val="Firstpagetablebold"/>
              </w:rPr>
            </w:pPr>
            <w:r w:rsidRPr="62B73EE3">
              <w:rPr>
                <w:rStyle w:val="Firstpagetablebold"/>
              </w:rPr>
              <w:t>Cabinet</w:t>
            </w:r>
            <w:r w:rsidRPr="62B73EE3" w:rsidR="00025250">
              <w:rPr>
                <w:rStyle w:val="Firstpagetablebold"/>
              </w:rPr>
              <w:t xml:space="preserve"> </w:t>
            </w:r>
          </w:p>
        </w:tc>
      </w:tr>
      <w:tr w:rsidRPr="00975B07" w:rsidR="00CE544A" w:rsidTr="62B73EE3" w14:paraId="705FA4FB" w14:textId="77777777">
        <w:tc>
          <w:tcPr>
            <w:tcW w:w="2438" w:type="dxa"/>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tcPr>
          <w:p w:rsidRPr="009E30E2" w:rsidR="00F445B1" w:rsidP="62B73EE3" w:rsidRDefault="009F6267" w14:paraId="4F4A4C58" w14:textId="6123C1C3">
            <w:pPr>
              <w:rPr>
                <w:b/>
                <w:bCs/>
                <w:color w:val="auto"/>
              </w:rPr>
            </w:pPr>
            <w:r>
              <w:rPr>
                <w:rStyle w:val="Firstpagetablebold"/>
                <w:rFonts w:cs="Arial"/>
                <w:b w:val="0"/>
                <w:color w:val="auto"/>
              </w:rPr>
              <w:t>10</w:t>
            </w:r>
            <w:r w:rsidRPr="009F6267">
              <w:rPr>
                <w:rStyle w:val="Firstpagetablebold"/>
                <w:rFonts w:cs="Arial"/>
                <w:b w:val="0"/>
                <w:color w:val="auto"/>
                <w:vertAlign w:val="superscript"/>
              </w:rPr>
              <w:t>th</w:t>
            </w:r>
            <w:r>
              <w:rPr>
                <w:rStyle w:val="Firstpagetablebold"/>
                <w:rFonts w:cs="Arial"/>
                <w:b w:val="0"/>
                <w:color w:val="auto"/>
              </w:rPr>
              <w:t xml:space="preserve"> December 2025</w:t>
            </w:r>
          </w:p>
        </w:tc>
      </w:tr>
      <w:tr w:rsidRPr="00975B07" w:rsidR="00CE544A" w:rsidTr="62B73EE3" w14:paraId="7AED9E48" w14:textId="77777777">
        <w:tc>
          <w:tcPr>
            <w:tcW w:w="2438" w:type="dxa"/>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tcPr>
          <w:p w:rsidRPr="009E30E2" w:rsidR="00F445B1" w:rsidP="004A6D2F" w:rsidRDefault="009F6267" w14:paraId="31C202AE" w14:textId="571E456B">
            <w:pPr>
              <w:rPr>
                <w:rStyle w:val="Firstpagetablebold"/>
                <w:color w:val="auto"/>
              </w:rPr>
            </w:pPr>
            <w:r>
              <w:rPr>
                <w:rStyle w:val="Firstpagetablebold"/>
                <w:rFonts w:cs="Arial"/>
                <w:b w:val="0"/>
                <w:color w:val="auto"/>
              </w:rPr>
              <w:t>Nigel Kennedy Group Finance Director</w:t>
            </w:r>
          </w:p>
        </w:tc>
      </w:tr>
      <w:tr w:rsidRPr="00975B07" w:rsidR="00CE544A" w:rsidTr="62B73EE3" w14:paraId="312CDF01" w14:textId="77777777">
        <w:tc>
          <w:tcPr>
            <w:tcW w:w="2438" w:type="dxa"/>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tcPr>
          <w:p w:rsidRPr="009E30E2" w:rsidR="00F445B1" w:rsidP="004A6D2F" w:rsidRDefault="009F6267" w14:paraId="4C45E9F3" w14:textId="5BB4DA93">
            <w:pPr>
              <w:rPr>
                <w:rStyle w:val="Firstpagetablebold"/>
                <w:color w:val="auto"/>
              </w:rPr>
            </w:pPr>
            <w:r>
              <w:rPr>
                <w:rStyle w:val="Firstpagetablebold"/>
                <w:rFonts w:cs="Arial"/>
                <w:b w:val="0"/>
                <w:color w:val="auto"/>
              </w:rPr>
              <w:t>Commercial Procurement Strategy</w:t>
            </w:r>
            <w:r w:rsidR="009126FC">
              <w:rPr>
                <w:rStyle w:val="Firstpagetablebold"/>
                <w:rFonts w:cs="Arial"/>
                <w:b w:val="0"/>
                <w:color w:val="auto"/>
              </w:rPr>
              <w:t xml:space="preserve"> 2026-2029</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9F6267" w14:paraId="419B6548" w14:textId="1B8C1C00">
            <w:pPr>
              <w:rPr>
                <w:color w:val="auto"/>
              </w:rPr>
            </w:pPr>
            <w:r>
              <w:rPr>
                <w:color w:val="auto"/>
              </w:rPr>
              <w:t>T</w:t>
            </w:r>
            <w:r>
              <w:t xml:space="preserve">o </w:t>
            </w:r>
            <w:r w:rsidR="009126FC">
              <w:t>seek approval to a three-year</w:t>
            </w:r>
            <w:r>
              <w:t xml:space="preserve"> Procurement Strategy </w:t>
            </w:r>
            <w:r w:rsidR="009126FC">
              <w:t>for the Council</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9126FC" w14:paraId="1B0C58F5" w14:textId="5FF1D9FA">
            <w:pPr>
              <w:rPr>
                <w:color w:val="auto"/>
              </w:rPr>
            </w:pPr>
            <w:r>
              <w:rPr>
                <w:rFonts w:cs="Arial"/>
                <w:b/>
                <w:bCs/>
                <w:color w:val="auto"/>
              </w:rPr>
              <w:t>No</w:t>
            </w:r>
            <w:r w:rsidRPr="009E30E2" w:rsidR="00025250">
              <w:rPr>
                <w:rFonts w:cs="Arial"/>
                <w:color w:val="auto"/>
              </w:rPr>
              <w:t xml:space="preserve"> </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9F6267" w14:paraId="1E006809" w14:textId="0187448B">
            <w:pPr>
              <w:rPr>
                <w:color w:val="auto"/>
              </w:rPr>
            </w:pPr>
            <w:r>
              <w:rPr>
                <w:color w:val="auto"/>
              </w:rPr>
              <w:t xml:space="preserve">Councillor Ed Turner, </w:t>
            </w:r>
            <w:r w:rsidR="009126FC">
              <w:rPr>
                <w:color w:val="auto"/>
              </w:rPr>
              <w:t>Deputy Leader (Statutory) and Councillor for Finance and Asset Management</w:t>
            </w:r>
            <w:r>
              <w:rPr>
                <w:color w:val="auto"/>
              </w:rPr>
              <w:t xml:space="preserve"> </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9126FC" w14:paraId="3DF1AC69" w14:textId="1E336659">
            <w:pPr>
              <w:rPr>
                <w:color w:val="auto"/>
              </w:rPr>
            </w:pPr>
            <w:r>
              <w:rPr>
                <w:color w:val="auto"/>
              </w:rPr>
              <w:t>All</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025250" w:rsidP="00025250" w:rsidRDefault="009126FC" w14:paraId="0AA7D163" w14:textId="57D3F4C9">
            <w:pPr>
              <w:rPr>
                <w:color w:val="auto"/>
              </w:rPr>
            </w:pPr>
            <w:r>
              <w:rPr>
                <w:color w:val="auto"/>
              </w:rPr>
              <w:t>Corporate Plan</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2012"/>
        <w:gridCol w:w="6407"/>
      </w:tblGrid>
      <w:tr w:rsidRPr="00975B07" w:rsidR="00025250" w:rsidTr="62B73EE3" w14:paraId="75BF65A5" w14:textId="77777777">
        <w:trPr>
          <w:trHeight w:val="413"/>
        </w:trPr>
        <w:tc>
          <w:tcPr>
            <w:tcW w:w="8845" w:type="dxa"/>
            <w:gridSpan w:val="3"/>
            <w:tcBorders>
              <w:bottom w:val="single" w:color="000000" w:themeColor="text1" w:sz="8" w:space="0"/>
            </w:tcBorders>
          </w:tcPr>
          <w:p w:rsidRPr="00975B07" w:rsidR="00025250" w:rsidP="00FD0B08"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62B73EE3"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P="00FD0B08" w:rsidRDefault="00025250" w14:paraId="4AAB6C58" w14:textId="77777777">
            <w:r w:rsidRPr="00975B07">
              <w:t>1.</w:t>
            </w:r>
          </w:p>
        </w:tc>
        <w:tc>
          <w:tcPr>
            <w:tcW w:w="8419" w:type="dxa"/>
            <w:gridSpan w:val="2"/>
            <w:tcBorders>
              <w:top w:val="single" w:color="000000" w:themeColor="text1" w:sz="8" w:space="0"/>
              <w:left w:val="nil"/>
              <w:bottom w:val="nil"/>
              <w:right w:val="single" w:color="000000" w:themeColor="text1" w:sz="8" w:space="0"/>
            </w:tcBorders>
          </w:tcPr>
          <w:p w:rsidRPr="001356F1" w:rsidR="00025250" w:rsidP="00FD0B08" w:rsidRDefault="009F6267" w14:paraId="2D683A1F" w14:textId="5839894E">
            <w:r>
              <w:rPr>
                <w:rStyle w:val="Firstpagetablebold"/>
              </w:rPr>
              <w:t xml:space="preserve">Consider the draft Procurement Strategy 2026-2029 (at appendix </w:t>
            </w:r>
            <w:r w:rsidR="009126FC">
              <w:rPr>
                <w:rStyle w:val="Firstpagetablebold"/>
              </w:rPr>
              <w:t>1</w:t>
            </w:r>
            <w:r>
              <w:rPr>
                <w:rStyle w:val="Firstpagetablebold"/>
              </w:rPr>
              <w:t>); and</w:t>
            </w:r>
            <w:r w:rsidRPr="001356F1" w:rsidR="00025250">
              <w:t xml:space="preserve"> </w:t>
            </w:r>
          </w:p>
        </w:tc>
      </w:tr>
      <w:tr w:rsidRPr="00975B07" w:rsidR="00025250" w:rsidTr="62B73EE3" w14:paraId="25E85822" w14:textId="77777777">
        <w:trPr>
          <w:trHeight w:val="283"/>
        </w:trPr>
        <w:tc>
          <w:tcPr>
            <w:tcW w:w="426" w:type="dxa"/>
            <w:tcBorders>
              <w:top w:val="nil"/>
              <w:left w:val="single" w:color="000000" w:themeColor="text1" w:sz="8" w:space="0"/>
              <w:bottom w:val="nil"/>
              <w:right w:val="nil"/>
            </w:tcBorders>
          </w:tcPr>
          <w:p w:rsidRPr="00975B07" w:rsidR="00025250" w:rsidP="00FD0B08" w:rsidRDefault="00025250" w14:paraId="65C5A875" w14:textId="77777777">
            <w:r w:rsidRPr="00975B07">
              <w:t>2.</w:t>
            </w:r>
          </w:p>
        </w:tc>
        <w:tc>
          <w:tcPr>
            <w:tcW w:w="8419" w:type="dxa"/>
            <w:gridSpan w:val="2"/>
            <w:tcBorders>
              <w:top w:val="nil"/>
              <w:left w:val="nil"/>
              <w:bottom w:val="nil"/>
              <w:right w:val="single" w:color="000000" w:themeColor="text1" w:sz="8" w:space="0"/>
            </w:tcBorders>
          </w:tcPr>
          <w:p w:rsidR="00025250" w:rsidP="00FD0B08" w:rsidRDefault="009F6267" w14:paraId="03CE923B" w14:textId="77777777">
            <w:pPr>
              <w:rPr>
                <w:rStyle w:val="Firstpagetablebold"/>
              </w:rPr>
            </w:pPr>
            <w:r>
              <w:rPr>
                <w:rStyle w:val="Firstpagetablebold"/>
              </w:rPr>
              <w:t>Recommend to Council that the draft Procurement Strategy be adopted.</w:t>
            </w:r>
          </w:p>
          <w:p w:rsidRPr="001356F1" w:rsidR="009F6267" w:rsidP="00FD0B08" w:rsidRDefault="009F6267" w14:paraId="6ADC7102" w14:textId="5169C0BD"/>
        </w:tc>
      </w:tr>
      <w:tr w:rsidRPr="003E4C33" w:rsidR="00025250" w:rsidTr="62B73EE3" w14:paraId="67F8F7AF" w14:textId="7777777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trHeight w:val="300"/>
        </w:trPr>
        <w:tc>
          <w:tcPr>
            <w:tcW w:w="8845" w:type="dxa"/>
            <w:gridSpan w:val="3"/>
            <w:tcBorders>
              <w:bottom w:val="single" w:color="000000" w:themeColor="text1" w:sz="8" w:space="0"/>
            </w:tcBorders>
            <w:hideMark/>
          </w:tcPr>
          <w:p w:rsidRPr="003E4C33" w:rsidR="00025250" w:rsidP="00FD0B08" w:rsidRDefault="00025250" w14:paraId="59493166" w14:textId="77777777">
            <w:pPr>
              <w:jc w:val="center"/>
              <w:rPr>
                <w:rStyle w:val="Firstpagetablebold"/>
                <w:rFonts w:cs="Arial"/>
              </w:rPr>
            </w:pPr>
            <w:r w:rsidRPr="003E4C33">
              <w:rPr>
                <w:rStyle w:val="Firstpagetablebold"/>
                <w:rFonts w:cs="Arial"/>
              </w:rPr>
              <w:t xml:space="preserve">Information Exempt </w:t>
            </w:r>
            <w:proofErr w:type="gramStart"/>
            <w:r w:rsidRPr="003E4C33">
              <w:rPr>
                <w:rStyle w:val="Firstpagetablebold"/>
                <w:rFonts w:cs="Arial"/>
              </w:rPr>
              <w:t>From</w:t>
            </w:r>
            <w:proofErr w:type="gramEnd"/>
            <w:r w:rsidRPr="003E4C33">
              <w:rPr>
                <w:rStyle w:val="Firstpagetablebold"/>
                <w:rFonts w:cs="Arial"/>
              </w:rPr>
              <w:t xml:space="preserve"> Publication </w:t>
            </w:r>
          </w:p>
        </w:tc>
      </w:tr>
      <w:tr w:rsidRPr="003E4C33" w:rsidR="00025250" w:rsidTr="62B73EE3" w14:paraId="40623F28" w14:textId="77777777">
        <w:trPr>
          <w:trHeight w:val="300"/>
        </w:trPr>
        <w:tc>
          <w:tcPr>
            <w:tcW w:w="2438" w:type="dxa"/>
            <w:gridSpan w:val="2"/>
            <w:tcBorders>
              <w:top w:val="nil"/>
              <w:left w:val="single" w:color="000000" w:themeColor="text1" w:sz="8" w:space="0"/>
              <w:bottom w:val="nil"/>
              <w:right w:val="nil"/>
            </w:tcBorders>
          </w:tcPr>
          <w:p w:rsidRPr="009E30E2" w:rsidR="00025250" w:rsidP="00FD0B08" w:rsidRDefault="00025250" w14:paraId="5542E86A" w14:textId="473180BB">
            <w:pPr>
              <w:rPr>
                <w:rStyle w:val="Firstpagetablebold"/>
                <w:rFonts w:cs="Arial"/>
              </w:rPr>
            </w:pPr>
          </w:p>
        </w:tc>
        <w:tc>
          <w:tcPr>
            <w:tcW w:w="6407" w:type="dxa"/>
            <w:vMerge w:val="restart"/>
            <w:tcBorders>
              <w:top w:val="nil"/>
              <w:left w:val="nil"/>
              <w:bottom w:val="single" w:color="000000" w:themeColor="text1" w:sz="8" w:space="0"/>
              <w:right w:val="single" w:color="000000" w:themeColor="text1" w:sz="8" w:space="0"/>
            </w:tcBorders>
          </w:tcPr>
          <w:p w:rsidRPr="00284824" w:rsidR="00025250" w:rsidP="00284824" w:rsidRDefault="00284824" w14:paraId="5064A6DD" w14:textId="1C6C7D39">
            <w:pPr>
              <w:rPr>
                <w:rFonts w:cs="Arial"/>
              </w:rPr>
            </w:pPr>
            <w:r>
              <w:rPr>
                <w:rFonts w:cs="Arial"/>
              </w:rPr>
              <w:t>None</w:t>
            </w:r>
          </w:p>
        </w:tc>
      </w:tr>
      <w:tr w:rsidRPr="003E4C33" w:rsidR="00025250" w:rsidTr="62B73EE3" w14:paraId="7888775D" w14:textId="7777777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Ex>
        <w:trPr>
          <w:trHeight w:val="300"/>
        </w:trPr>
        <w:tc>
          <w:tcPr>
            <w:tcW w:w="2438" w:type="dxa"/>
            <w:gridSpan w:val="2"/>
            <w:tcBorders>
              <w:top w:val="nil"/>
              <w:left w:val="single" w:color="000000" w:themeColor="text1" w:sz="8" w:space="0"/>
              <w:bottom w:val="single" w:color="auto" w:sz="4" w:space="0"/>
              <w:right w:val="nil"/>
            </w:tcBorders>
          </w:tcPr>
          <w:p w:rsidRPr="003E4C33" w:rsidR="00025250" w:rsidP="00FD0B08" w:rsidRDefault="00025250" w14:paraId="141DB754" w14:textId="77777777">
            <w:pPr>
              <w:rPr>
                <w:rStyle w:val="Firstpagetablebold"/>
                <w:rFonts w:cs="Arial"/>
                <w:i/>
                <w:iCs/>
                <w:color w:val="D9D9D9" w:themeColor="background1" w:themeShade="D9"/>
              </w:rPr>
            </w:pPr>
          </w:p>
        </w:tc>
        <w:tc>
          <w:tcPr>
            <w:tcW w:w="6407" w:type="dxa"/>
            <w:vMerge/>
          </w:tcPr>
          <w:p w:rsidRPr="003E4C33" w:rsidR="00025250" w:rsidP="00FD0B08" w:rsidRDefault="00025250" w14:paraId="530EC42B" w14:textId="77777777">
            <w:pPr>
              <w:rPr>
                <w:rFonts w:cs="Arial"/>
              </w:rPr>
            </w:pPr>
          </w:p>
        </w:tc>
      </w:tr>
    </w:tbl>
    <w:p w:rsidR="00025250" w:rsidP="004A6D2F" w:rsidRDefault="00025250" w14:paraId="3E3DC543"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62B73EE3" w14:paraId="469C2CEE" w14:textId="77777777">
        <w:trPr>
          <w:trHeight w:val="300"/>
        </w:trPr>
        <w:tc>
          <w:tcPr>
            <w:tcW w:w="1912" w:type="dxa"/>
            <w:tcBorders>
              <w:bottom w:val="single" w:color="auto" w:sz="4" w:space="0"/>
            </w:tcBorders>
          </w:tcPr>
          <w:p w:rsidRPr="003E4C33" w:rsidR="002312EA" w:rsidP="00FD0B08"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P="00FD0B08"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2312EA" w:rsidP="00FD0B08"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62B73EE3"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P="00FD0B08" w:rsidRDefault="002312EA" w14:paraId="70747163" w14:textId="77777777">
            <w:pPr>
              <w:rPr>
                <w:rStyle w:val="Firstpagetablebold"/>
                <w:rFonts w:cs="Arial"/>
                <w:color w:val="auto"/>
              </w:rPr>
            </w:pPr>
            <w:r w:rsidRPr="009E30E2">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FD0B08" w:rsidRDefault="009126FC" w14:paraId="3E2ED561" w14:textId="7C6F3CB2">
            <w:pPr>
              <w:rPr>
                <w:rFonts w:cs="Arial"/>
                <w:color w:val="auto"/>
              </w:rPr>
            </w:pPr>
            <w:r>
              <w:rPr>
                <w:rFonts w:cs="Arial"/>
                <w:color w:val="auto"/>
              </w:rPr>
              <w:t>Draft Corporate Procurement Strategy 2026-2029</w:t>
            </w:r>
          </w:p>
        </w:tc>
        <w:tc>
          <w:tcPr>
            <w:tcW w:w="4455" w:type="dxa"/>
            <w:tcBorders>
              <w:top w:val="single" w:color="auto" w:sz="4" w:space="0"/>
              <w:left w:val="single" w:color="auto" w:sz="4" w:space="0"/>
              <w:bottom w:val="single" w:color="auto" w:sz="4" w:space="0"/>
              <w:right w:val="single" w:color="auto" w:sz="4" w:space="0"/>
            </w:tcBorders>
          </w:tcPr>
          <w:p w:rsidRPr="009E30E2" w:rsidR="002312EA" w:rsidP="00FD0B08" w:rsidRDefault="009126FC" w14:paraId="349B4576" w14:textId="023F8F58">
            <w:pPr>
              <w:ind w:left="18" w:hanging="18"/>
              <w:rPr>
                <w:rFonts w:cs="Arial"/>
                <w:color w:val="auto"/>
              </w:rPr>
            </w:pPr>
            <w:r>
              <w:rPr>
                <w:rFonts w:cs="Arial"/>
                <w:color w:val="auto"/>
              </w:rPr>
              <w:t>No</w:t>
            </w:r>
          </w:p>
        </w:tc>
      </w:tr>
      <w:tr w:rsidRPr="003E4C33" w:rsidR="002312EA" w:rsidTr="62B73EE3" w14:paraId="5332D292"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2312EA" w:rsidP="00FD0B08" w:rsidRDefault="002312EA" w14:paraId="66389E38" w14:textId="77777777">
            <w:pPr>
              <w:rPr>
                <w:rStyle w:val="Firstpagetablebold"/>
                <w:rFonts w:cs="Arial"/>
                <w:color w:val="auto"/>
              </w:rPr>
            </w:pPr>
            <w:r w:rsidRPr="009E30E2">
              <w:rPr>
                <w:rStyle w:val="Firstpagetablebold"/>
                <w:rFonts w:cs="Arial"/>
                <w:color w:val="auto"/>
              </w:rPr>
              <w:t xml:space="preserve">Appendix 2 </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FD0B08" w:rsidRDefault="002312EA" w14:paraId="251AC11B" w14:textId="424A79F5">
            <w:pPr>
              <w:rPr>
                <w:rFonts w:cs="Arial"/>
                <w:color w:val="auto"/>
              </w:rPr>
            </w:pPr>
          </w:p>
        </w:tc>
        <w:tc>
          <w:tcPr>
            <w:tcW w:w="4455" w:type="dxa"/>
            <w:tcBorders>
              <w:top w:val="single" w:color="auto" w:sz="4" w:space="0"/>
              <w:left w:val="single" w:color="auto" w:sz="4" w:space="0"/>
              <w:bottom w:val="single" w:color="auto" w:sz="4" w:space="0"/>
              <w:right w:val="single" w:color="000000" w:themeColor="text1" w:sz="8" w:space="0"/>
            </w:tcBorders>
          </w:tcPr>
          <w:p w:rsidRPr="009E30E2" w:rsidR="002312EA" w:rsidP="00FD0B08" w:rsidRDefault="002312EA" w14:paraId="0E6EFED4" w14:textId="4D885157">
            <w:pPr>
              <w:rPr>
                <w:rFonts w:cs="Arial"/>
                <w:color w:val="auto"/>
              </w:rPr>
            </w:pPr>
          </w:p>
        </w:tc>
      </w:tr>
    </w:tbl>
    <w:p w:rsidR="002312EA" w:rsidP="004A6D2F" w:rsidRDefault="002312EA" w14:paraId="572B1CF3" w14:textId="77777777"/>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008954DF" w:rsidP="00C16B47" w:rsidRDefault="009126FC" w14:paraId="40D136CA" w14:textId="6F2B37BE">
      <w:pPr>
        <w:pStyle w:val="ListParagraph"/>
        <w:numPr>
          <w:ilvl w:val="0"/>
          <w:numId w:val="37"/>
        </w:numPr>
      </w:pPr>
      <w:r>
        <w:t xml:space="preserve">The current procurement strategy </w:t>
      </w:r>
      <w:r w:rsidR="008E0B2E">
        <w:t>ended in</w:t>
      </w:r>
      <w:r>
        <w:t xml:space="preserve"> October 2025</w:t>
      </w:r>
      <w:r w:rsidR="00F10A9C">
        <w:t>.</w:t>
      </w:r>
    </w:p>
    <w:p w:rsidR="00F10A9C" w:rsidP="00C16B47" w:rsidRDefault="00F10A9C" w14:paraId="08F8AC8B" w14:textId="37C5A287">
      <w:pPr>
        <w:pStyle w:val="ListParagraph"/>
        <w:numPr>
          <w:ilvl w:val="0"/>
          <w:numId w:val="37"/>
        </w:numPr>
      </w:pPr>
      <w:r>
        <w:lastRenderedPageBreak/>
        <w:t xml:space="preserve">A new three-year corporate procurement strategy (the strategy) is recommended to be in place until 2029, </w:t>
      </w:r>
      <w:r w:rsidRPr="007A5B11">
        <w:t xml:space="preserve">a year after the corporate priorities </w:t>
      </w:r>
      <w:proofErr w:type="gramStart"/>
      <w:r w:rsidRPr="007A5B11">
        <w:t>are</w:t>
      </w:r>
      <w:proofErr w:type="gramEnd"/>
      <w:r w:rsidRPr="007A5B11">
        <w:t xml:space="preserve"> due to be reviewed.</w:t>
      </w:r>
      <w:r>
        <w:t xml:space="preserve">  This will allow a new strategy to be developed in-line with any updated corporate priorities in 2029.</w:t>
      </w:r>
    </w:p>
    <w:p w:rsidRPr="007A5B11" w:rsidR="00F10A9C" w:rsidP="00C16B47" w:rsidRDefault="00F10A9C" w14:paraId="6C61EEC4" w14:textId="68A843C0">
      <w:pPr>
        <w:pStyle w:val="ListParagraph"/>
        <w:numPr>
          <w:ilvl w:val="0"/>
          <w:numId w:val="37"/>
        </w:numPr>
      </w:pPr>
      <w:r>
        <w:t xml:space="preserve">A range of internal stakeholders have been engaged in formulation of the strategy and any feedback received has, where practical to do so, been incorporated into </w:t>
      </w:r>
      <w:r w:rsidRPr="007A5B11">
        <w:t>this draft.</w:t>
      </w:r>
    </w:p>
    <w:p w:rsidRPr="001356F1" w:rsidR="00284824" w:rsidP="00C16B47" w:rsidRDefault="00284824" w14:paraId="47289438" w14:textId="03F6BE58">
      <w:pPr>
        <w:pStyle w:val="ListParagraph"/>
        <w:numPr>
          <w:ilvl w:val="0"/>
          <w:numId w:val="37"/>
        </w:numPr>
      </w:pPr>
      <w:r w:rsidRPr="007A5B11">
        <w:t>The Strategy is designed to align with the Procurement Act 2023, National</w:t>
      </w:r>
      <w:r>
        <w:t xml:space="preserve"> Procurement Policy Statement (NPPS) and any procurement Policy Notices (PPN’s) along with the Public Procurement Act 2015 </w:t>
      </w:r>
      <w:r w:rsidR="007A5B11">
        <w:t>(</w:t>
      </w:r>
      <w:r>
        <w:t xml:space="preserve">under which </w:t>
      </w:r>
      <w:proofErr w:type="gramStart"/>
      <w:r>
        <w:t>a number of</w:t>
      </w:r>
      <w:proofErr w:type="gramEnd"/>
      <w:r>
        <w:t xml:space="preserve"> old Contracts are still governed</w:t>
      </w:r>
      <w:r w:rsidR="007A5B11">
        <w:t>)</w:t>
      </w:r>
      <w:r>
        <w:t xml:space="preserve"> and the Councils Constitution (Section 19).</w:t>
      </w:r>
    </w:p>
    <w:p w:rsidRPr="007A5B11" w:rsidR="00633578" w:rsidP="002B6836" w:rsidRDefault="00F10A9C" w14:paraId="352FB548" w14:textId="011BF601">
      <w:pPr>
        <w:pStyle w:val="Heading1"/>
      </w:pPr>
      <w:r w:rsidRPr="007A5B11">
        <w:t>Key changes from the 2022-2025 strategy</w:t>
      </w:r>
    </w:p>
    <w:p w:rsidRPr="007A5B11" w:rsidR="00E87F7A" w:rsidP="002B6836" w:rsidRDefault="007A5B11" w14:paraId="70524038" w14:textId="36D111A8">
      <w:pPr>
        <w:pStyle w:val="bParagraphtext"/>
      </w:pPr>
      <w:r w:rsidRPr="007A5B11">
        <w:t>The only key change from the previous strategy is linked to how the Council has</w:t>
      </w:r>
      <w:r>
        <w:t xml:space="preserve"> and will continue to manage and implement the Procurement Act 2023 and new transparency requirements</w:t>
      </w:r>
      <w:r w:rsidR="008E0B2E">
        <w:t xml:space="preserve"> introduced in February 2025</w:t>
      </w:r>
      <w:r w:rsidR="007A1363">
        <w:t xml:space="preserve">, as well as </w:t>
      </w:r>
      <w:proofErr w:type="gramStart"/>
      <w:r w:rsidR="007A1363">
        <w:t>taking into account</w:t>
      </w:r>
      <w:proofErr w:type="gramEnd"/>
      <w:r w:rsidR="007A1363">
        <w:t xml:space="preserve"> the content of Council motions so far as possible.</w:t>
      </w:r>
    </w:p>
    <w:p w:rsidR="002312EA" w:rsidP="002B6836" w:rsidRDefault="00F10A9C" w14:paraId="70635196" w14:textId="53351C69">
      <w:pPr>
        <w:pStyle w:val="Heading1"/>
      </w:pPr>
      <w:r>
        <w:t>Salient Points of the Strategy</w:t>
      </w:r>
    </w:p>
    <w:p w:rsidR="00F10A9C" w:rsidP="002312EA" w:rsidRDefault="00F10A9C" w14:paraId="1DA1D93A" w14:textId="77777777">
      <w:pPr>
        <w:pStyle w:val="bParagraphtext"/>
        <w:rPr>
          <w:rFonts w:cs="Arial"/>
          <w:color w:val="auto"/>
        </w:rPr>
      </w:pPr>
      <w:r>
        <w:rPr>
          <w:rFonts w:cs="Arial"/>
          <w:color w:val="auto"/>
        </w:rPr>
        <w:t xml:space="preserve">The Strategy has </w:t>
      </w:r>
      <w:r w:rsidRPr="007A5B11">
        <w:rPr>
          <w:rFonts w:cs="Arial"/>
          <w:color w:val="auto"/>
        </w:rPr>
        <w:t>links</w:t>
      </w:r>
      <w:r>
        <w:rPr>
          <w:rFonts w:cs="Arial"/>
          <w:color w:val="auto"/>
        </w:rPr>
        <w:t xml:space="preserve"> to documents relating to certain areas such </w:t>
      </w:r>
      <w:proofErr w:type="gramStart"/>
      <w:r>
        <w:rPr>
          <w:rFonts w:cs="Arial"/>
          <w:color w:val="auto"/>
        </w:rPr>
        <w:t>as;</w:t>
      </w:r>
      <w:proofErr w:type="gramEnd"/>
    </w:p>
    <w:p w:rsidR="007A5B11" w:rsidP="00F10A9C" w:rsidRDefault="007A5B11" w14:paraId="0D886DF3" w14:textId="77777777">
      <w:pPr>
        <w:pStyle w:val="bParagraphtext"/>
        <w:numPr>
          <w:ilvl w:val="1"/>
          <w:numId w:val="14"/>
        </w:numPr>
        <w:rPr>
          <w:rFonts w:cs="Arial"/>
          <w:color w:val="auto"/>
        </w:rPr>
      </w:pPr>
      <w:r>
        <w:rPr>
          <w:rFonts w:cs="Arial"/>
          <w:color w:val="auto"/>
        </w:rPr>
        <w:t>Public expenditure statistical analysis</w:t>
      </w:r>
    </w:p>
    <w:p w:rsidR="007A5B11" w:rsidP="00F10A9C" w:rsidRDefault="007A5B11" w14:paraId="7EE5E3A8" w14:textId="77777777">
      <w:pPr>
        <w:pStyle w:val="bParagraphtext"/>
        <w:numPr>
          <w:ilvl w:val="1"/>
          <w:numId w:val="14"/>
        </w:numPr>
        <w:rPr>
          <w:rFonts w:cs="Arial"/>
          <w:color w:val="auto"/>
        </w:rPr>
      </w:pPr>
      <w:r>
        <w:rPr>
          <w:rFonts w:cs="Arial"/>
          <w:color w:val="auto"/>
        </w:rPr>
        <w:t>National Procurement Policy Statement</w:t>
      </w:r>
    </w:p>
    <w:p w:rsidRPr="009E30E2" w:rsidR="002312EA" w:rsidP="00F10A9C" w:rsidRDefault="007A5B11" w14:paraId="5556DAA0" w14:textId="539C1E42">
      <w:pPr>
        <w:pStyle w:val="bParagraphtext"/>
        <w:numPr>
          <w:ilvl w:val="1"/>
          <w:numId w:val="14"/>
        </w:numPr>
        <w:rPr>
          <w:rFonts w:cs="Arial"/>
          <w:color w:val="auto"/>
        </w:rPr>
      </w:pPr>
      <w:r>
        <w:rPr>
          <w:rFonts w:cs="Arial"/>
          <w:color w:val="auto"/>
        </w:rPr>
        <w:t>Common areas of spend definitions</w:t>
      </w:r>
      <w:r w:rsidRPr="009E30E2" w:rsidR="002312EA">
        <w:rPr>
          <w:rFonts w:cs="Arial"/>
          <w:color w:val="auto"/>
        </w:rPr>
        <w:t xml:space="preserve">. </w:t>
      </w:r>
    </w:p>
    <w:p w:rsidRPr="001356F1" w:rsidR="00E87F7A" w:rsidP="002B6836" w:rsidRDefault="00E87F7A" w14:paraId="485FA2EF" w14:textId="1450874D">
      <w:pPr>
        <w:pStyle w:val="Heading1"/>
      </w:pPr>
      <w:r w:rsidRPr="001356F1">
        <w:t xml:space="preserve">Other implications </w:t>
      </w:r>
    </w:p>
    <w:p w:rsidRPr="001356F1" w:rsidR="00E87F7A" w:rsidP="002B6836" w:rsidRDefault="00F10A9C" w14:paraId="17FA88A3" w14:textId="1A2E2E43">
      <w:pPr>
        <w:pStyle w:val="bParagraphtext"/>
      </w:pPr>
      <w:r>
        <w:t>There are no known implications.</w:t>
      </w:r>
    </w:p>
    <w:p w:rsidRPr="002B6836" w:rsidR="0040736F" w:rsidP="002B6836" w:rsidRDefault="002329CF" w14:paraId="11308776" w14:textId="77777777">
      <w:pPr>
        <w:pStyle w:val="Heading1"/>
      </w:pPr>
      <w:r w:rsidRPr="002B6836">
        <w:t>Financial implications</w:t>
      </w:r>
    </w:p>
    <w:p w:rsidR="00E87F7A" w:rsidP="005570B5" w:rsidRDefault="00F10A9C" w14:paraId="0DC981BA" w14:textId="4AC629D2">
      <w:pPr>
        <w:pStyle w:val="ListParagraph"/>
        <w:rPr>
          <w:rStyle w:val="bParagraphtextChar"/>
        </w:rPr>
      </w:pPr>
      <w:r>
        <w:rPr>
          <w:rStyle w:val="bParagraphtextChar"/>
        </w:rPr>
        <w:t>Whilst there are no direct financial implications arising from the agreement of the Strategy, clearly the absence of an agreed strategy could lead to increased costs being incurred by the Council or indeed missed opportunities.</w:t>
      </w:r>
    </w:p>
    <w:p w:rsidR="00F10A9C" w:rsidP="005570B5" w:rsidRDefault="00F10A9C" w14:paraId="292CA7E7" w14:textId="2FAE2E14">
      <w:pPr>
        <w:pStyle w:val="ListParagraph"/>
      </w:pPr>
      <w:r w:rsidRPr="00F10A9C">
        <w:t>It is vital that the wholly owned companies (ODSL, ODSTL, OCHL, OCHDL) work with the Council in relation to procurement to ensure that there is not a duplication of the tendering process and awarding of contracts offering the same goods, services or works potentially disaggregating spend and diluting the financial savings arising from Group buying power</w:t>
      </w:r>
      <w:r>
        <w:t>.</w:t>
      </w:r>
    </w:p>
    <w:p w:rsidRPr="001356F1" w:rsidR="00F10A9C" w:rsidP="005570B5" w:rsidRDefault="00F10A9C" w14:paraId="21A468CC" w14:textId="5AF33745">
      <w:pPr>
        <w:pStyle w:val="ListParagraph"/>
      </w:pPr>
      <w:r w:rsidRPr="00F10A9C">
        <w:t>It is also important that all the Councils companies are considered in all procurements and named to co-use the contracts where it is deemed practical to do so reducing on costs and hopefully driving more value for money for all the council owned companies.</w:t>
      </w:r>
    </w:p>
    <w:p w:rsidRPr="001356F1" w:rsidR="0040736F" w:rsidP="004A6D2F" w:rsidRDefault="00DA614B" w14:paraId="06827778" w14:textId="77777777">
      <w:pPr>
        <w:pStyle w:val="Heading1"/>
      </w:pPr>
      <w:r w:rsidRPr="001356F1">
        <w:t>Legal issues</w:t>
      </w:r>
    </w:p>
    <w:p w:rsidR="002B33EB" w:rsidP="00F10A9C" w:rsidRDefault="00872693" w14:paraId="4069FB3E" w14:textId="34E4E97E">
      <w:pPr>
        <w:pStyle w:val="ListParagraph"/>
      </w:pPr>
      <w:r>
        <w:t>Under Par</w:t>
      </w:r>
      <w:r w:rsidR="00A10F0B">
        <w:t>t</w:t>
      </w:r>
      <w:r>
        <w:t xml:space="preserve"> 4.4 (14) of the Constitution Cabinet in empowered to consider the recommendations in this report. </w:t>
      </w:r>
    </w:p>
    <w:p w:rsidRPr="00F10A9C" w:rsidR="00F10A9C" w:rsidP="00F10A9C" w:rsidRDefault="00F10A9C" w14:paraId="4CC2F89D" w14:textId="35A10821">
      <w:pPr>
        <w:pStyle w:val="ListParagraph"/>
      </w:pPr>
      <w:r w:rsidRPr="00F10A9C">
        <w:t>Procurement operates in a highly regulated environment governed by the Council</w:t>
      </w:r>
      <w:r w:rsidR="00AD28E5">
        <w:t>’</w:t>
      </w:r>
      <w:r w:rsidRPr="00F10A9C">
        <w:t>s internal procedures and Constitution and legislation</w:t>
      </w:r>
      <w:r w:rsidR="00AD28E5">
        <w:t>.</w:t>
      </w:r>
      <w:r w:rsidRPr="00AD28E5" w:rsidR="00AD28E5">
        <w:t xml:space="preserve"> Adopting an up-to-date </w:t>
      </w:r>
      <w:r w:rsidRPr="00AD28E5" w:rsidR="00AD28E5">
        <w:lastRenderedPageBreak/>
        <w:t>procurement strategy will assist the Council</w:t>
      </w:r>
      <w:r w:rsidR="00514D28">
        <w:t xml:space="preserve"> </w:t>
      </w:r>
      <w:r w:rsidRPr="00514D28" w:rsidR="00514D28">
        <w:t xml:space="preserve">comply with the relevant legislative framework.  </w:t>
      </w:r>
      <w:r w:rsidRPr="00F10A9C">
        <w:t> </w:t>
      </w:r>
    </w:p>
    <w:p w:rsidRPr="001356F1" w:rsidR="002329CF" w:rsidP="004A6D2F" w:rsidRDefault="002329CF" w14:paraId="39265579" w14:textId="1EF23409">
      <w:pPr>
        <w:pStyle w:val="Heading1"/>
      </w:pPr>
      <w:r w:rsidRPr="00D5287A">
        <w:rPr>
          <w:bCs/>
        </w:rPr>
        <w:t xml:space="preserve">Level </w:t>
      </w:r>
      <w:r w:rsidRPr="001356F1">
        <w:t>of risk</w:t>
      </w:r>
    </w:p>
    <w:p w:rsidRPr="002B6836" w:rsidR="00BC69A4" w:rsidP="002B6836" w:rsidRDefault="00D5287A" w14:paraId="0EA9CFE9" w14:textId="1490038B">
      <w:pPr>
        <w:pStyle w:val="bParagraphtext"/>
      </w:pPr>
      <w:r>
        <w:t>There are no known risks</w:t>
      </w:r>
      <w:r w:rsidR="00740BBB">
        <w:t>.</w:t>
      </w:r>
    </w:p>
    <w:p w:rsidRPr="001356F1" w:rsidR="002329CF" w:rsidP="0050321C" w:rsidRDefault="002329CF" w14:paraId="2399E607" w14:textId="77777777">
      <w:pPr>
        <w:pStyle w:val="Heading1"/>
      </w:pPr>
      <w:r w:rsidRPr="001356F1">
        <w:t xml:space="preserve">Equalities impact </w:t>
      </w:r>
    </w:p>
    <w:p w:rsidR="00FB3B71" w:rsidP="002312EA" w:rsidRDefault="00740BBB" w14:paraId="621A5FDA" w14:textId="451496BD">
      <w:pPr>
        <w:pStyle w:val="ListParagraph"/>
      </w:pPr>
      <w:bookmarkStart w:name="_Hlk184712181" w:id="0"/>
      <w:r>
        <w:t>T</w:t>
      </w:r>
      <w:r w:rsidR="007A1363">
        <w:t>he Procurement Strategy is an important lever for Oxford City Council to narrow inequalities within Oxford, and the delivery of social value also helps achieve that aim.  Equalities in procurement are considered in as part of the new Procurement Strategy.</w:t>
      </w:r>
    </w:p>
    <w:p w:rsidR="00FB3B71" w:rsidP="00FB3B71" w:rsidRDefault="00950824" w14:paraId="1C46F1C8" w14:textId="77777777">
      <w:pPr>
        <w:pStyle w:val="bParagraphtext"/>
        <w:numPr>
          <w:ilvl w:val="0"/>
          <w:numId w:val="0"/>
        </w:numPr>
      </w:pPr>
      <w:bookmarkStart w:name="_Hlk184712246" w:id="1"/>
      <w:bookmarkEnd w:id="0"/>
      <w:r>
        <w:rPr>
          <w:b/>
        </w:rPr>
        <w:t>Carbon and Environmental Considerations</w:t>
      </w:r>
      <w:r w:rsidRPr="00FB3B71" w:rsidR="00FB3B71">
        <w:rPr>
          <w:b/>
        </w:rPr>
        <w:t xml:space="preserve"> </w:t>
      </w:r>
    </w:p>
    <w:p w:rsidR="00450587" w:rsidP="00450587" w:rsidRDefault="00740BBB" w14:paraId="2EDDF42C" w14:textId="467694C9">
      <w:pPr>
        <w:pStyle w:val="bParagraphtext"/>
      </w:pPr>
      <w:r>
        <w:t>There is no known Environmental Risk</w:t>
      </w:r>
    </w:p>
    <w:bookmarkEnd w:id="1"/>
    <w:p w:rsidR="00450587" w:rsidP="00450587" w:rsidRDefault="00450587" w14:paraId="005C8230" w14:textId="25F9BC85">
      <w:pPr>
        <w:rPr>
          <w:b/>
          <w:bCs/>
          <w:u w:val="single"/>
        </w:rPr>
      </w:pPr>
      <w:r w:rsidRPr="0064284E">
        <w:rPr>
          <w:b/>
          <w:bCs/>
          <w:u w:val="single"/>
        </w:rPr>
        <w:t>Council Motion</w:t>
      </w:r>
      <w:r>
        <w:rPr>
          <w:b/>
          <w:bCs/>
          <w:u w:val="single"/>
        </w:rPr>
        <w:t xml:space="preserve"> related to ethical trade</w:t>
      </w:r>
    </w:p>
    <w:p w:rsidRPr="0064284E" w:rsidR="00450587" w:rsidP="0064284E" w:rsidRDefault="00450587" w14:paraId="416BB219" w14:textId="37DCB01C">
      <w:pPr>
        <w:pStyle w:val="ListParagraph"/>
      </w:pPr>
      <w:r w:rsidRPr="0064284E">
        <w:t>There was a Council motion in 2025 related to ethical trade where the cabinet member for finance was requested to bring forward costed polices that incorporate wherever possible and in line with applicable legislation, the UN Principles for Responsible Investment (UN PRI) and Guiding Principles on Business and Human Rights (UNGP); and that explicitly preclude Council knowingly, indirectly or directly, investing in or trading with entities implicated in the following, henceforth referred to as “the proscribed activities”:</w:t>
      </w:r>
    </w:p>
    <w:p w:rsidRPr="0064284E" w:rsidR="00450587" w:rsidP="0064284E" w:rsidRDefault="00450587" w14:paraId="5B9C3296" w14:textId="20058BFD">
      <w:pPr>
        <w:pStyle w:val="ListParagraph"/>
        <w:numPr>
          <w:ilvl w:val="0"/>
          <w:numId w:val="40"/>
        </w:numPr>
      </w:pPr>
      <w:r w:rsidRPr="0064284E">
        <w:t xml:space="preserve">fossil fuel extraction, processing, or </w:t>
      </w:r>
      <w:proofErr w:type="gramStart"/>
      <w:r w:rsidRPr="0064284E">
        <w:t>trade;</w:t>
      </w:r>
      <w:proofErr w:type="gramEnd"/>
    </w:p>
    <w:p w:rsidRPr="0064284E" w:rsidR="00450587" w:rsidP="0064284E" w:rsidRDefault="00450587" w14:paraId="124D859A" w14:textId="2DEE49BD">
      <w:pPr>
        <w:pStyle w:val="ListParagraph"/>
        <w:numPr>
          <w:ilvl w:val="0"/>
          <w:numId w:val="40"/>
        </w:numPr>
      </w:pPr>
      <w:r w:rsidRPr="0064284E">
        <w:t>state violence and repression, war and occupation comprising grave violations of human rights as defined in international law (including war crimes, crimes against humanity, and genocide</w:t>
      </w:r>
      <w:proofErr w:type="gramStart"/>
      <w:r w:rsidRPr="0064284E">
        <w:t>);</w:t>
      </w:r>
      <w:proofErr w:type="gramEnd"/>
    </w:p>
    <w:p w:rsidRPr="0064284E" w:rsidR="00450587" w:rsidP="0064284E" w:rsidRDefault="00450587" w14:paraId="430B2802" w14:textId="3BC671BC">
      <w:pPr>
        <w:pStyle w:val="ListParagraph"/>
        <w:numPr>
          <w:ilvl w:val="0"/>
          <w:numId w:val="40"/>
        </w:numPr>
      </w:pPr>
      <w:r w:rsidRPr="0064284E">
        <w:t>the production of weapons, weapon parts, or military equipment where there is risk of the above violations being committed.</w:t>
      </w:r>
    </w:p>
    <w:p w:rsidR="00450587" w:rsidP="00450587" w:rsidRDefault="00450587" w14:paraId="1E366FB4" w14:textId="4E941B1A">
      <w:pPr>
        <w:pStyle w:val="ListParagraph"/>
      </w:pPr>
      <w:r>
        <w:t>The above will be addressed during the period of this strategy as set out below</w:t>
      </w:r>
    </w:p>
    <w:p w:rsidR="00450587" w:rsidP="00FF1AF9" w:rsidRDefault="00450587" w14:paraId="55776515" w14:textId="7CBC0FD3">
      <w:pPr>
        <w:pStyle w:val="ListParagraph"/>
        <w:numPr>
          <w:ilvl w:val="0"/>
          <w:numId w:val="41"/>
        </w:numPr>
      </w:pPr>
      <w:r>
        <w:t xml:space="preserve">By incorporating into the Conditions of </w:t>
      </w:r>
      <w:r w:rsidR="005071BC">
        <w:t>Participation a</w:t>
      </w:r>
      <w:r>
        <w:t xml:space="preserve"> self-declaration asking suppliers to confirm that they are not involved in any of the activities listed.  The Council would have to accept the suppliers answer to the question </w:t>
      </w:r>
    </w:p>
    <w:p w:rsidRPr="0064284E" w:rsidR="00EE40F3" w:rsidP="0064284E" w:rsidRDefault="00EE40F3" w14:paraId="1DB09B89" w14:textId="4D55D469">
      <w:pPr>
        <w:pStyle w:val="ListParagraph"/>
        <w:numPr>
          <w:ilvl w:val="0"/>
          <w:numId w:val="41"/>
        </w:numPr>
      </w:pPr>
      <w:r>
        <w:t xml:space="preserve">By </w:t>
      </w:r>
      <w:r w:rsidRPr="00EE40F3">
        <w:t>build</w:t>
      </w:r>
      <w:r>
        <w:t>ing</w:t>
      </w:r>
      <w:r w:rsidRPr="00EE40F3">
        <w:t xml:space="preserve"> into the terms and conditions</w:t>
      </w:r>
      <w:r>
        <w:t xml:space="preserve"> of contract</w:t>
      </w:r>
      <w:r w:rsidRPr="00EE40F3">
        <w:t xml:space="preserve"> a clause that allows the Council to terminate a contract should the Council identify at any time during the life of the Contract that the supplier is engaged in any of the mentioned activities</w:t>
      </w:r>
    </w:p>
    <w:p w:rsidRPr="00FB3B71" w:rsidR="00FB3B71" w:rsidP="00FB3B71" w:rsidRDefault="00FB3B71" w14:paraId="1C7A0F5E" w14:textId="77777777">
      <w:pPr>
        <w:pStyle w:val="bParagraphtext"/>
        <w:numPr>
          <w:ilvl w:val="0"/>
          <w:numId w:val="0"/>
        </w:numPr>
        <w:rPr>
          <w:b/>
        </w:rPr>
      </w:pPr>
      <w:r w:rsidRPr="00FB3B71">
        <w:rPr>
          <w:b/>
        </w:rPr>
        <w:t>Conclusion</w:t>
      </w:r>
    </w:p>
    <w:p w:rsidRPr="002B6836" w:rsidR="00E206D6" w:rsidP="00C16B47" w:rsidRDefault="00740BBB" w14:paraId="11AC5B7F" w14:textId="2AEA839E">
      <w:pPr>
        <w:pStyle w:val="ListParagraph"/>
      </w:pPr>
      <w:r>
        <w:t xml:space="preserve">The Strategy does not replace any Council internal rules (Constitution </w:t>
      </w:r>
      <w:r w:rsidR="003522E9">
        <w:t>section</w:t>
      </w:r>
      <w:r>
        <w:t xml:space="preserve"> 19) or external rules (Regulations).  It enhances and provides guidance and support for internal stakeholders and sets out how procurement will support the Council priorities.</w:t>
      </w:r>
    </w:p>
    <w:p w:rsidRPr="001356F1" w:rsidR="00E206D6" w:rsidP="00E206D6" w:rsidRDefault="00E206D6" w14:paraId="1C3EE284" w14:textId="77777777">
      <w:pPr>
        <w:pStyle w:val="ListParagraph"/>
        <w:numPr>
          <w:ilvl w:val="0"/>
          <w:numId w:val="0"/>
        </w:numPr>
        <w:ind w:left="426"/>
      </w:pPr>
    </w:p>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tcPr>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tcPr>
          <w:p w:rsidRPr="001356F1" w:rsidR="00E87F7A" w:rsidP="00A46E98" w:rsidRDefault="00740BBB" w14:paraId="6930C959" w14:textId="0FB199B0">
            <w:r>
              <w:t>Annette Osborne</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tcPr>
          <w:p w:rsidRPr="001356F1" w:rsidR="00E87F7A" w:rsidP="00A46E98" w:rsidRDefault="00E87F7A" w14:paraId="6B6C3381" w14:textId="77777777">
            <w:r w:rsidRPr="001356F1">
              <w:lastRenderedPageBreak/>
              <w:t>Job title</w:t>
            </w:r>
          </w:p>
        </w:tc>
        <w:tc>
          <w:tcPr>
            <w:tcW w:w="4962" w:type="dxa"/>
            <w:tcBorders>
              <w:top w:val="single" w:color="000000" w:sz="8" w:space="0"/>
              <w:left w:val="nil"/>
              <w:bottom w:val="nil"/>
              <w:right w:val="single" w:color="000000" w:sz="8" w:space="0"/>
            </w:tcBorders>
          </w:tcPr>
          <w:p w:rsidRPr="001356F1" w:rsidR="00E87F7A" w:rsidP="00A46E98" w:rsidRDefault="00740BBB" w14:paraId="3100D2DA" w14:textId="15E5A21B">
            <w:r>
              <w:t>Strategic Procurement Manager</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tcPr>
          <w:p w:rsidRPr="001356F1" w:rsidR="00E87F7A" w:rsidP="00A46E98" w:rsidRDefault="00740BBB" w14:paraId="0F7746FF" w14:textId="0107AD92">
            <w:r>
              <w:t>Financial Services</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tcPr>
          <w:p w:rsidRPr="001356F1" w:rsidR="00E87F7A" w:rsidP="00A46E98" w:rsidRDefault="00E87F7A" w14:paraId="53D96CCC" w14:textId="2D56E020">
            <w:r w:rsidRPr="001356F1">
              <w:t xml:space="preserve">01865 </w:t>
            </w:r>
            <w:r w:rsidR="00740BBB">
              <w:t>335498</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tcPr>
          <w:p w:rsidRPr="001356F1" w:rsidR="00E87F7A" w:rsidP="00A46E98" w:rsidRDefault="00740BBB" w14:paraId="64C04F4C" w14:textId="0351E781">
            <w:pPr>
              <w:rPr>
                <w:rStyle w:val="Hyperlink"/>
                <w:color w:val="000000"/>
              </w:rPr>
            </w:pPr>
            <w:r>
              <w:rPr>
                <w:rStyle w:val="Hyperlink"/>
                <w:color w:val="000000"/>
              </w:rPr>
              <w:t>aosborne@oxford.gov.uk</w:t>
            </w:r>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62B73EE3"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tcPr>
          <w:p w:rsidRPr="001356F1" w:rsidR="0093067A" w:rsidP="00F41AC1" w:rsidRDefault="282C914F" w14:paraId="61B16C51" w14:textId="346F45A6">
            <w:r w:rsidRPr="62B73EE3">
              <w:rPr>
                <w:rStyle w:val="Firstpagetablebold"/>
              </w:rPr>
              <w:t xml:space="preserve">Background Papers: </w:t>
            </w:r>
            <w:r w:rsidRPr="00740BBB" w:rsidR="00740BBB">
              <w:rPr>
                <w:rStyle w:val="Firstpagetablebold"/>
                <w:b w:val="0"/>
                <w:bCs/>
              </w:rPr>
              <w:t>None</w:t>
            </w:r>
          </w:p>
          <w:p w:rsidRPr="001356F1" w:rsidR="0093067A" w:rsidP="00BD6181" w:rsidRDefault="0093067A" w14:paraId="7116CD40" w14:textId="2BCFD363">
            <w:pPr>
              <w:spacing w:line="259" w:lineRule="auto"/>
              <w:rPr>
                <w:rFonts w:eastAsia="Arial" w:cs="Arial"/>
                <w:color w:val="BFBFBF" w:themeColor="background1" w:themeShade="BF"/>
              </w:rPr>
            </w:pPr>
          </w:p>
        </w:tc>
      </w:tr>
      <w:tr w:rsidRPr="001356F1" w:rsidR="00DF093E" w:rsidTr="62B73EE3" w14:paraId="4B513816" w14:textId="77777777">
        <w:tc>
          <w:tcPr>
            <w:tcW w:w="567" w:type="dxa"/>
            <w:tcBorders>
              <w:top w:val="single" w:color="000000" w:themeColor="text1" w:sz="8" w:space="0"/>
              <w:left w:val="single" w:color="000000" w:themeColor="text1" w:sz="8" w:space="0"/>
              <w:bottom w:val="nil"/>
              <w:right w:val="nil"/>
            </w:tcBorders>
          </w:tcPr>
          <w:p w:rsidRPr="001356F1" w:rsidR="0093067A" w:rsidP="00F41AC1" w:rsidRDefault="00182B81" w14:paraId="5C766C7F" w14:textId="77777777">
            <w:r w:rsidRPr="001356F1">
              <w:t>1</w:t>
            </w:r>
          </w:p>
        </w:tc>
        <w:tc>
          <w:tcPr>
            <w:tcW w:w="8364" w:type="dxa"/>
            <w:tcBorders>
              <w:top w:val="single" w:color="000000" w:themeColor="text1" w:sz="8" w:space="0"/>
              <w:left w:val="nil"/>
              <w:bottom w:val="nil"/>
              <w:right w:val="single" w:color="000000" w:themeColor="text1" w:sz="8" w:space="0"/>
            </w:tcBorders>
          </w:tcPr>
          <w:p w:rsidRPr="001356F1" w:rsidR="0093067A" w:rsidP="005D0621" w:rsidRDefault="0093067A" w14:paraId="462D1A28" w14:textId="5B092F8C"/>
        </w:tc>
      </w:tr>
      <w:tr w:rsidRPr="001356F1" w:rsidR="00DF093E" w:rsidTr="62B73EE3" w14:paraId="6C6E75FA" w14:textId="77777777">
        <w:tc>
          <w:tcPr>
            <w:tcW w:w="567" w:type="dxa"/>
            <w:tcBorders>
              <w:top w:val="nil"/>
              <w:left w:val="single" w:color="000000" w:themeColor="text1" w:sz="8" w:space="0"/>
              <w:bottom w:val="nil"/>
              <w:right w:val="nil"/>
            </w:tcBorders>
          </w:tcPr>
          <w:p w:rsidRPr="001356F1" w:rsidR="0093067A" w:rsidP="00F41AC1" w:rsidRDefault="00182B81" w14:paraId="05E18FBE" w14:textId="77777777">
            <w:r w:rsidRPr="001356F1">
              <w:t>2</w:t>
            </w:r>
          </w:p>
        </w:tc>
        <w:tc>
          <w:tcPr>
            <w:tcW w:w="8364" w:type="dxa"/>
            <w:tcBorders>
              <w:top w:val="nil"/>
              <w:left w:val="nil"/>
              <w:bottom w:val="nil"/>
              <w:right w:val="single" w:color="000000" w:themeColor="text1" w:sz="8" w:space="0"/>
            </w:tcBorders>
          </w:tcPr>
          <w:p w:rsidRPr="001356F1" w:rsidR="0093067A" w:rsidP="00F41AC1" w:rsidRDefault="0093067A" w14:paraId="39542725" w14:textId="77777777"/>
        </w:tc>
      </w:tr>
      <w:tr w:rsidRPr="001356F1" w:rsidR="00DF093E" w:rsidTr="62B73EE3" w14:paraId="1AC735B5" w14:textId="77777777">
        <w:tc>
          <w:tcPr>
            <w:tcW w:w="567" w:type="dxa"/>
            <w:tcBorders>
              <w:top w:val="nil"/>
              <w:left w:val="single" w:color="000000" w:themeColor="text1" w:sz="8" w:space="0"/>
              <w:bottom w:val="nil"/>
              <w:right w:val="nil"/>
            </w:tcBorders>
          </w:tcPr>
          <w:p w:rsidRPr="001356F1" w:rsidR="0093067A" w:rsidP="00F41AC1" w:rsidRDefault="00182B81" w14:paraId="64B0F938" w14:textId="77777777">
            <w:r w:rsidRPr="001356F1">
              <w:t>3</w:t>
            </w:r>
          </w:p>
        </w:tc>
        <w:tc>
          <w:tcPr>
            <w:tcW w:w="8364" w:type="dxa"/>
            <w:tcBorders>
              <w:top w:val="nil"/>
              <w:left w:val="nil"/>
              <w:bottom w:val="nil"/>
              <w:right w:val="single" w:color="000000" w:themeColor="text1" w:sz="8" w:space="0"/>
            </w:tcBorders>
          </w:tcPr>
          <w:p w:rsidRPr="001356F1" w:rsidR="0093067A" w:rsidP="00F41AC1" w:rsidRDefault="0093067A" w14:paraId="7455CDDB" w14:textId="77777777"/>
        </w:tc>
      </w:tr>
      <w:tr w:rsidRPr="00A46E98" w:rsidR="005570B5" w:rsidTr="62B73EE3" w14:paraId="0EFBD437" w14:textId="77777777">
        <w:tc>
          <w:tcPr>
            <w:tcW w:w="567" w:type="dxa"/>
            <w:tcBorders>
              <w:top w:val="nil"/>
              <w:left w:val="single" w:color="000000" w:themeColor="text1" w:sz="8" w:space="0"/>
              <w:bottom w:val="single" w:color="000000" w:themeColor="text1" w:sz="8" w:space="0"/>
              <w:right w:val="nil"/>
            </w:tcBorders>
          </w:tcPr>
          <w:p w:rsidRPr="00A46E98" w:rsidR="0093067A" w:rsidP="00F41AC1" w:rsidRDefault="00182B81" w14:paraId="67643100" w14:textId="77777777">
            <w:r w:rsidRPr="00A46E98">
              <w:t>4</w:t>
            </w:r>
          </w:p>
        </w:tc>
        <w:tc>
          <w:tcPr>
            <w:tcW w:w="8364" w:type="dxa"/>
            <w:tcBorders>
              <w:top w:val="nil"/>
              <w:left w:val="nil"/>
              <w:bottom w:val="single" w:color="000000" w:themeColor="text1" w:sz="8" w:space="0"/>
              <w:right w:val="single" w:color="000000" w:themeColor="text1" w:sz="8" w:space="0"/>
            </w:tcBorders>
          </w:tcPr>
          <w:p w:rsidRPr="00A46E98" w:rsidR="0093067A" w:rsidP="00F41AC1" w:rsidRDefault="0093067A" w14:paraId="09B8BB73" w14:textId="77777777"/>
        </w:tc>
      </w:tr>
    </w:tbl>
    <w:p w:rsidR="00CE4C87" w:rsidP="0093067A" w:rsidRDefault="00CE4C87" w14:paraId="6E09069D" w14:textId="77777777"/>
    <w:p w:rsidRPr="009E51FC" w:rsidR="004456DD" w:rsidP="0093067A" w:rsidRDefault="004456DD" w14:paraId="1FE671BD" w14:textId="77777777"/>
    <w:sectPr w:rsidRPr="009E51FC" w:rsidR="004456DD" w:rsidSect="002B6836">
      <w:footerReference w:type="even" r:id="rId11"/>
      <w:headerReference w:type="first" r:id="rId12"/>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817" w:rsidP="004A6D2F" w:rsidRDefault="00C05817" w14:paraId="4A16AFDA" w14:textId="77777777">
      <w:r>
        <w:separator/>
      </w:r>
    </w:p>
  </w:endnote>
  <w:endnote w:type="continuationSeparator" w:id="0">
    <w:p w:rsidR="00C05817" w:rsidP="004A6D2F" w:rsidRDefault="00C05817" w14:paraId="36B715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817" w:rsidP="004A6D2F" w:rsidRDefault="00C05817" w14:paraId="3D7B31CF" w14:textId="77777777">
      <w:r>
        <w:separator/>
      </w:r>
    </w:p>
  </w:footnote>
  <w:footnote w:type="continuationSeparator" w:id="0">
    <w:p w:rsidR="00C05817" w:rsidP="004A6D2F" w:rsidRDefault="00C05817" w14:paraId="42C886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8706107"/>
    <w:multiLevelType w:val="multilevel"/>
    <w:tmpl w:val="8CE819E0"/>
    <w:lvl w:ilvl="0">
      <w:start w:val="1"/>
      <w:numFmt w:val="bullet"/>
      <w:lvlText w:val=""/>
      <w:lvlJc w:val="left"/>
      <w:pPr>
        <w:ind w:left="360" w:hanging="360"/>
      </w:pPr>
      <w:rPr>
        <w:rFonts w:hint="default" w:ascii="Symbol" w:hAnsi="Symbo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113546"/>
    <w:multiLevelType w:val="multilevel"/>
    <w:tmpl w:val="9DEE6182"/>
    <w:lvl w:ilvl="0">
      <w:start w:val="1"/>
      <w:numFmt w:val="bullet"/>
      <w:lvlText w:val=""/>
      <w:lvlJc w:val="left"/>
      <w:pPr>
        <w:ind w:left="360" w:hanging="360"/>
      </w:pPr>
      <w:rPr>
        <w:rFonts w:hint="default" w:ascii="Symbol" w:hAnsi="Symbo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ABA5FD8"/>
    <w:multiLevelType w:val="multilevel"/>
    <w:tmpl w:val="43D6D2FA"/>
    <w:numStyleLink w:val="StyleBulletedSymbolsymbolLeft063cmHanging063cm"/>
  </w:abstractNum>
  <w:abstractNum w:abstractNumId="31"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2A22831"/>
    <w:multiLevelType w:val="multilevel"/>
    <w:tmpl w:val="43D6D2FA"/>
    <w:numStyleLink w:val="StyleBulletedSymbolsymbolLeft063cmHanging063cm"/>
  </w:abstractNum>
  <w:abstractNum w:abstractNumId="33"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8365C6"/>
    <w:multiLevelType w:val="multilevel"/>
    <w:tmpl w:val="E67CE66C"/>
    <w:numStyleLink w:val="StyleNumberedLeft0cmHanging075cm"/>
  </w:abstractNum>
  <w:num w:numId="1" w16cid:durableId="2036299310">
    <w:abstractNumId w:val="29"/>
  </w:num>
  <w:num w:numId="2" w16cid:durableId="643705505">
    <w:abstractNumId w:val="34"/>
  </w:num>
  <w:num w:numId="3" w16cid:durableId="1284848424">
    <w:abstractNumId w:val="26"/>
  </w:num>
  <w:num w:numId="4" w16cid:durableId="578908713">
    <w:abstractNumId w:val="20"/>
  </w:num>
  <w:num w:numId="5" w16cid:durableId="54470100">
    <w:abstractNumId w:val="31"/>
  </w:num>
  <w:num w:numId="6" w16cid:durableId="694158268">
    <w:abstractNumId w:val="36"/>
  </w:num>
  <w:num w:numId="7" w16cid:durableId="647516062">
    <w:abstractNumId w:val="25"/>
  </w:num>
  <w:num w:numId="8" w16cid:durableId="1160539719">
    <w:abstractNumId w:val="22"/>
  </w:num>
  <w:num w:numId="9" w16cid:durableId="1862670074">
    <w:abstractNumId w:val="14"/>
  </w:num>
  <w:num w:numId="10" w16cid:durableId="948585193">
    <w:abstractNumId w:val="17"/>
  </w:num>
  <w:num w:numId="11" w16cid:durableId="718482766">
    <w:abstractNumId w:val="28"/>
  </w:num>
  <w:num w:numId="12" w16cid:durableId="164051272">
    <w:abstractNumId w:val="27"/>
  </w:num>
  <w:num w:numId="13" w16cid:durableId="1450854030">
    <w:abstractNumId w:val="10"/>
  </w:num>
  <w:num w:numId="14" w16cid:durableId="373359476">
    <w:abstractNumId w:val="37"/>
  </w:num>
  <w:num w:numId="15" w16cid:durableId="1009412161">
    <w:abstractNumId w:val="18"/>
  </w:num>
  <w:num w:numId="16" w16cid:durableId="2041280933">
    <w:abstractNumId w:val="11"/>
  </w:num>
  <w:num w:numId="17" w16cid:durableId="471220593">
    <w:abstractNumId w:val="30"/>
  </w:num>
  <w:num w:numId="18" w16cid:durableId="1031035851">
    <w:abstractNumId w:val="12"/>
  </w:num>
  <w:num w:numId="19" w16cid:durableId="1402945545">
    <w:abstractNumId w:val="32"/>
  </w:num>
  <w:num w:numId="20" w16cid:durableId="1667248783">
    <w:abstractNumId w:val="19"/>
  </w:num>
  <w:num w:numId="21" w16cid:durableId="1353453069">
    <w:abstractNumId w:val="23"/>
  </w:num>
  <w:num w:numId="22" w16cid:durableId="592667723">
    <w:abstractNumId w:val="15"/>
  </w:num>
  <w:num w:numId="23" w16cid:durableId="37707020">
    <w:abstractNumId w:val="33"/>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5"/>
  </w:num>
  <w:num w:numId="35" w16cid:durableId="1152941978">
    <w:abstractNumId w:val="21"/>
  </w:num>
  <w:num w:numId="36" w16cid:durableId="2006741231">
    <w:abstractNumId w:val="24"/>
  </w:num>
  <w:num w:numId="37" w16cid:durableId="1020403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6758032">
    <w:abstractNumId w:val="37"/>
  </w:num>
  <w:num w:numId="39" w16cid:durableId="533005800">
    <w:abstractNumId w:val="37"/>
  </w:num>
  <w:num w:numId="40" w16cid:durableId="505243399">
    <w:abstractNumId w:val="13"/>
  </w:num>
  <w:num w:numId="41" w16cid:durableId="18792748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47E7"/>
    <w:rsid w:val="00025250"/>
    <w:rsid w:val="000314D7"/>
    <w:rsid w:val="00034054"/>
    <w:rsid w:val="000434D8"/>
    <w:rsid w:val="00045F8B"/>
    <w:rsid w:val="00046D2B"/>
    <w:rsid w:val="00056263"/>
    <w:rsid w:val="00064D8A"/>
    <w:rsid w:val="00064F82"/>
    <w:rsid w:val="00066510"/>
    <w:rsid w:val="00077523"/>
    <w:rsid w:val="000B1DFC"/>
    <w:rsid w:val="000C089F"/>
    <w:rsid w:val="000C3928"/>
    <w:rsid w:val="000C5E8E"/>
    <w:rsid w:val="000F4751"/>
    <w:rsid w:val="0010524C"/>
    <w:rsid w:val="00111FB1"/>
    <w:rsid w:val="00113418"/>
    <w:rsid w:val="001356F1"/>
    <w:rsid w:val="00136994"/>
    <w:rsid w:val="0014128E"/>
    <w:rsid w:val="001517ED"/>
    <w:rsid w:val="00151888"/>
    <w:rsid w:val="00154095"/>
    <w:rsid w:val="00170A2D"/>
    <w:rsid w:val="001808BC"/>
    <w:rsid w:val="00182B81"/>
    <w:rsid w:val="0018619D"/>
    <w:rsid w:val="001A011E"/>
    <w:rsid w:val="001A066A"/>
    <w:rsid w:val="001A13E6"/>
    <w:rsid w:val="001A5731"/>
    <w:rsid w:val="001B42C3"/>
    <w:rsid w:val="001C5D5E"/>
    <w:rsid w:val="001D678D"/>
    <w:rsid w:val="001E03F8"/>
    <w:rsid w:val="001E1678"/>
    <w:rsid w:val="001E3376"/>
    <w:rsid w:val="002069B3"/>
    <w:rsid w:val="002312EA"/>
    <w:rsid w:val="002329CF"/>
    <w:rsid w:val="00232F5B"/>
    <w:rsid w:val="00247C29"/>
    <w:rsid w:val="00251321"/>
    <w:rsid w:val="00260467"/>
    <w:rsid w:val="00263EA3"/>
    <w:rsid w:val="00284824"/>
    <w:rsid w:val="00284F85"/>
    <w:rsid w:val="002870C3"/>
    <w:rsid w:val="00290915"/>
    <w:rsid w:val="002A22E2"/>
    <w:rsid w:val="002A3FA0"/>
    <w:rsid w:val="002B33EB"/>
    <w:rsid w:val="002B6836"/>
    <w:rsid w:val="002C64F7"/>
    <w:rsid w:val="002D5C46"/>
    <w:rsid w:val="002F41F2"/>
    <w:rsid w:val="00301BF3"/>
    <w:rsid w:val="0030208D"/>
    <w:rsid w:val="00323418"/>
    <w:rsid w:val="003357BF"/>
    <w:rsid w:val="003522E9"/>
    <w:rsid w:val="00364FAD"/>
    <w:rsid w:val="0036738F"/>
    <w:rsid w:val="0036759C"/>
    <w:rsid w:val="00367AE5"/>
    <w:rsid w:val="00367D71"/>
    <w:rsid w:val="0038150A"/>
    <w:rsid w:val="003B6E75"/>
    <w:rsid w:val="003B7DA1"/>
    <w:rsid w:val="003D0379"/>
    <w:rsid w:val="003D2574"/>
    <w:rsid w:val="003D4C59"/>
    <w:rsid w:val="003F4267"/>
    <w:rsid w:val="00404032"/>
    <w:rsid w:val="0040736F"/>
    <w:rsid w:val="00412C1F"/>
    <w:rsid w:val="00421CB2"/>
    <w:rsid w:val="004268B9"/>
    <w:rsid w:val="00433B96"/>
    <w:rsid w:val="004440F1"/>
    <w:rsid w:val="004456DD"/>
    <w:rsid w:val="00446CDF"/>
    <w:rsid w:val="00450587"/>
    <w:rsid w:val="004521B7"/>
    <w:rsid w:val="004548E0"/>
    <w:rsid w:val="00462AB5"/>
    <w:rsid w:val="00462D22"/>
    <w:rsid w:val="00465EAF"/>
    <w:rsid w:val="004738C5"/>
    <w:rsid w:val="0047737B"/>
    <w:rsid w:val="00491046"/>
    <w:rsid w:val="004913DC"/>
    <w:rsid w:val="00496078"/>
    <w:rsid w:val="004A08AF"/>
    <w:rsid w:val="004A2AC7"/>
    <w:rsid w:val="004A6D2F"/>
    <w:rsid w:val="004B11AE"/>
    <w:rsid w:val="004C2887"/>
    <w:rsid w:val="004D2626"/>
    <w:rsid w:val="004D6E26"/>
    <w:rsid w:val="004D77D3"/>
    <w:rsid w:val="004E2959"/>
    <w:rsid w:val="004F20EF"/>
    <w:rsid w:val="0050321C"/>
    <w:rsid w:val="005071BC"/>
    <w:rsid w:val="00507ECC"/>
    <w:rsid w:val="0051036A"/>
    <w:rsid w:val="00514D28"/>
    <w:rsid w:val="0054712D"/>
    <w:rsid w:val="00547EF6"/>
    <w:rsid w:val="005570B5"/>
    <w:rsid w:val="00567E18"/>
    <w:rsid w:val="00572534"/>
    <w:rsid w:val="00575F5F"/>
    <w:rsid w:val="005775AE"/>
    <w:rsid w:val="00581805"/>
    <w:rsid w:val="00585F76"/>
    <w:rsid w:val="005A34E4"/>
    <w:rsid w:val="005A6610"/>
    <w:rsid w:val="005B17F2"/>
    <w:rsid w:val="005B7FB0"/>
    <w:rsid w:val="005C35A5"/>
    <w:rsid w:val="005C577C"/>
    <w:rsid w:val="005D0621"/>
    <w:rsid w:val="005D1E27"/>
    <w:rsid w:val="005D2A3E"/>
    <w:rsid w:val="005E022E"/>
    <w:rsid w:val="005E2340"/>
    <w:rsid w:val="005E5215"/>
    <w:rsid w:val="005F7F7E"/>
    <w:rsid w:val="00614693"/>
    <w:rsid w:val="00623C2F"/>
    <w:rsid w:val="00633578"/>
    <w:rsid w:val="00637068"/>
    <w:rsid w:val="006419CA"/>
    <w:rsid w:val="0064284E"/>
    <w:rsid w:val="00650811"/>
    <w:rsid w:val="00655339"/>
    <w:rsid w:val="00661D3E"/>
    <w:rsid w:val="00692627"/>
    <w:rsid w:val="00692E06"/>
    <w:rsid w:val="006969E7"/>
    <w:rsid w:val="006A3643"/>
    <w:rsid w:val="006A68EC"/>
    <w:rsid w:val="006B10C2"/>
    <w:rsid w:val="006C2A29"/>
    <w:rsid w:val="006C64CF"/>
    <w:rsid w:val="006D17B1"/>
    <w:rsid w:val="006D4752"/>
    <w:rsid w:val="006D708A"/>
    <w:rsid w:val="006E14C1"/>
    <w:rsid w:val="006F0292"/>
    <w:rsid w:val="006F27FA"/>
    <w:rsid w:val="006F416B"/>
    <w:rsid w:val="006F519B"/>
    <w:rsid w:val="00713675"/>
    <w:rsid w:val="00715823"/>
    <w:rsid w:val="0072449C"/>
    <w:rsid w:val="007253EF"/>
    <w:rsid w:val="00737B93"/>
    <w:rsid w:val="00740BBB"/>
    <w:rsid w:val="00745BF0"/>
    <w:rsid w:val="00751EA3"/>
    <w:rsid w:val="007615FE"/>
    <w:rsid w:val="0076655C"/>
    <w:rsid w:val="007742DC"/>
    <w:rsid w:val="00790B57"/>
    <w:rsid w:val="00791437"/>
    <w:rsid w:val="007A1363"/>
    <w:rsid w:val="007A5B11"/>
    <w:rsid w:val="007B0C2C"/>
    <w:rsid w:val="007B278E"/>
    <w:rsid w:val="007B5CA2"/>
    <w:rsid w:val="007C5C23"/>
    <w:rsid w:val="007E2A26"/>
    <w:rsid w:val="007F2348"/>
    <w:rsid w:val="007F4757"/>
    <w:rsid w:val="00803F07"/>
    <w:rsid w:val="0080749A"/>
    <w:rsid w:val="00821FB8"/>
    <w:rsid w:val="00822ACD"/>
    <w:rsid w:val="00843D74"/>
    <w:rsid w:val="00855C66"/>
    <w:rsid w:val="00871EE4"/>
    <w:rsid w:val="00872693"/>
    <w:rsid w:val="008954DF"/>
    <w:rsid w:val="008B293F"/>
    <w:rsid w:val="008B7371"/>
    <w:rsid w:val="008C539E"/>
    <w:rsid w:val="008C5EEA"/>
    <w:rsid w:val="008D3DDB"/>
    <w:rsid w:val="008E0B2E"/>
    <w:rsid w:val="008F3B04"/>
    <w:rsid w:val="008F573F"/>
    <w:rsid w:val="009034EC"/>
    <w:rsid w:val="009126FC"/>
    <w:rsid w:val="009144C5"/>
    <w:rsid w:val="0093067A"/>
    <w:rsid w:val="00941C60"/>
    <w:rsid w:val="00941FD1"/>
    <w:rsid w:val="00950824"/>
    <w:rsid w:val="00956570"/>
    <w:rsid w:val="00966D42"/>
    <w:rsid w:val="00971689"/>
    <w:rsid w:val="0097170F"/>
    <w:rsid w:val="00973E90"/>
    <w:rsid w:val="00975B07"/>
    <w:rsid w:val="00980B4A"/>
    <w:rsid w:val="009952A9"/>
    <w:rsid w:val="009B3E8A"/>
    <w:rsid w:val="009E30E2"/>
    <w:rsid w:val="009E3D0A"/>
    <w:rsid w:val="009E51FC"/>
    <w:rsid w:val="009F1D28"/>
    <w:rsid w:val="009F6267"/>
    <w:rsid w:val="009F7618"/>
    <w:rsid w:val="00A04D23"/>
    <w:rsid w:val="00A06766"/>
    <w:rsid w:val="00A10F0B"/>
    <w:rsid w:val="00A125D4"/>
    <w:rsid w:val="00A13765"/>
    <w:rsid w:val="00A21B12"/>
    <w:rsid w:val="00A23F80"/>
    <w:rsid w:val="00A46E98"/>
    <w:rsid w:val="00A6352B"/>
    <w:rsid w:val="00A701B5"/>
    <w:rsid w:val="00A714BB"/>
    <w:rsid w:val="00A77147"/>
    <w:rsid w:val="00A92D8F"/>
    <w:rsid w:val="00AB2988"/>
    <w:rsid w:val="00AB7999"/>
    <w:rsid w:val="00AD28E5"/>
    <w:rsid w:val="00AD3292"/>
    <w:rsid w:val="00AE1684"/>
    <w:rsid w:val="00AE7AF0"/>
    <w:rsid w:val="00B500CA"/>
    <w:rsid w:val="00B86314"/>
    <w:rsid w:val="00BA1C2E"/>
    <w:rsid w:val="00BA37B1"/>
    <w:rsid w:val="00BA434D"/>
    <w:rsid w:val="00BC200B"/>
    <w:rsid w:val="00BC4756"/>
    <w:rsid w:val="00BC69A4"/>
    <w:rsid w:val="00BD37DC"/>
    <w:rsid w:val="00BD4CB1"/>
    <w:rsid w:val="00BD6181"/>
    <w:rsid w:val="00BE0680"/>
    <w:rsid w:val="00BE305F"/>
    <w:rsid w:val="00BE7BA3"/>
    <w:rsid w:val="00BF5682"/>
    <w:rsid w:val="00BF7B09"/>
    <w:rsid w:val="00C05260"/>
    <w:rsid w:val="00C05817"/>
    <w:rsid w:val="00C076B9"/>
    <w:rsid w:val="00C16B47"/>
    <w:rsid w:val="00C20A95"/>
    <w:rsid w:val="00C2692F"/>
    <w:rsid w:val="00C3207C"/>
    <w:rsid w:val="00C400E1"/>
    <w:rsid w:val="00C41187"/>
    <w:rsid w:val="00C63C31"/>
    <w:rsid w:val="00C757A0"/>
    <w:rsid w:val="00C760DE"/>
    <w:rsid w:val="00C82630"/>
    <w:rsid w:val="00C85B4E"/>
    <w:rsid w:val="00C907F7"/>
    <w:rsid w:val="00CA2103"/>
    <w:rsid w:val="00CB21E8"/>
    <w:rsid w:val="00CB6B99"/>
    <w:rsid w:val="00CE4C87"/>
    <w:rsid w:val="00CE544A"/>
    <w:rsid w:val="00D11E1C"/>
    <w:rsid w:val="00D142ED"/>
    <w:rsid w:val="00D160B0"/>
    <w:rsid w:val="00D17F94"/>
    <w:rsid w:val="00D223FC"/>
    <w:rsid w:val="00D26D1E"/>
    <w:rsid w:val="00D441F7"/>
    <w:rsid w:val="00D474CF"/>
    <w:rsid w:val="00D5287A"/>
    <w:rsid w:val="00D5547E"/>
    <w:rsid w:val="00D81024"/>
    <w:rsid w:val="00D860E2"/>
    <w:rsid w:val="00D869A1"/>
    <w:rsid w:val="00DA413F"/>
    <w:rsid w:val="00DA4584"/>
    <w:rsid w:val="00DA614B"/>
    <w:rsid w:val="00DB54C3"/>
    <w:rsid w:val="00DB7AD7"/>
    <w:rsid w:val="00DC3060"/>
    <w:rsid w:val="00DE0FB2"/>
    <w:rsid w:val="00DF093E"/>
    <w:rsid w:val="00DF6AE1"/>
    <w:rsid w:val="00E01F42"/>
    <w:rsid w:val="00E206D6"/>
    <w:rsid w:val="00E3366E"/>
    <w:rsid w:val="00E52086"/>
    <w:rsid w:val="00E543A6"/>
    <w:rsid w:val="00E60479"/>
    <w:rsid w:val="00E60D70"/>
    <w:rsid w:val="00E61D73"/>
    <w:rsid w:val="00E73684"/>
    <w:rsid w:val="00E818D6"/>
    <w:rsid w:val="00E87F7A"/>
    <w:rsid w:val="00E94B3E"/>
    <w:rsid w:val="00E96BD7"/>
    <w:rsid w:val="00EA0DB1"/>
    <w:rsid w:val="00EA0EE9"/>
    <w:rsid w:val="00ED52CA"/>
    <w:rsid w:val="00ED5860"/>
    <w:rsid w:val="00EE22F2"/>
    <w:rsid w:val="00EE35C9"/>
    <w:rsid w:val="00EE40F3"/>
    <w:rsid w:val="00F05ECA"/>
    <w:rsid w:val="00F10A9C"/>
    <w:rsid w:val="00F26E21"/>
    <w:rsid w:val="00F3566E"/>
    <w:rsid w:val="00F375FB"/>
    <w:rsid w:val="00F41AC1"/>
    <w:rsid w:val="00F4367A"/>
    <w:rsid w:val="00F445B1"/>
    <w:rsid w:val="00F45CD4"/>
    <w:rsid w:val="00F66DCA"/>
    <w:rsid w:val="00F74F53"/>
    <w:rsid w:val="00F7606D"/>
    <w:rsid w:val="00F81670"/>
    <w:rsid w:val="00F82024"/>
    <w:rsid w:val="00F865A3"/>
    <w:rsid w:val="00F95BC9"/>
    <w:rsid w:val="00FA624C"/>
    <w:rsid w:val="00FB3B71"/>
    <w:rsid w:val="00FD0FAC"/>
    <w:rsid w:val="00FD1DFA"/>
    <w:rsid w:val="00FD4966"/>
    <w:rsid w:val="00FE57DC"/>
    <w:rsid w:val="00FF095A"/>
    <w:rsid w:val="00FF1159"/>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2F3B62F"/>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xmsonormal" w:customStyle="1">
    <w:name w:val="x_msonormal"/>
    <w:basedOn w:val="Normal"/>
    <w:rsid w:val="00450587"/>
    <w:pPr>
      <w:spacing w:after="0"/>
    </w:pPr>
    <w:rPr>
      <w:rFonts w:ascii="Aptos" w:hAnsi="Aptos" w:cs="Apto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0396821">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615332166">
      <w:bodyDiv w:val="1"/>
      <w:marLeft w:val="0"/>
      <w:marRight w:val="0"/>
      <w:marTop w:val="0"/>
      <w:marBottom w:val="0"/>
      <w:divBdr>
        <w:top w:val="none" w:sz="0" w:space="0" w:color="auto"/>
        <w:left w:val="none" w:sz="0" w:space="0" w:color="auto"/>
        <w:bottom w:val="none" w:sz="0" w:space="0" w:color="auto"/>
        <w:right w:val="none" w:sz="0" w:space="0" w:color="auto"/>
      </w:divBdr>
    </w:div>
    <w:div w:id="1862890777">
      <w:bodyDiv w:val="1"/>
      <w:marLeft w:val="0"/>
      <w:marRight w:val="0"/>
      <w:marTop w:val="0"/>
      <w:marBottom w:val="0"/>
      <w:divBdr>
        <w:top w:val="none" w:sz="0" w:space="0" w:color="auto"/>
        <w:left w:val="none" w:sz="0" w:space="0" w:color="auto"/>
        <w:bottom w:val="none" w:sz="0" w:space="0" w:color="auto"/>
        <w:right w:val="none" w:sz="0" w:space="0" w:color="auto"/>
      </w:divBdr>
    </w:div>
    <w:div w:id="19169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2.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4.xml><?xml version="1.0" encoding="utf-8"?>
<ds:datastoreItem xmlns:ds="http://schemas.openxmlformats.org/officeDocument/2006/customXml" ds:itemID="{BB150A1D-97CD-462C-896A-77329D68A1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3</cp:revision>
  <cp:lastPrinted>2015-07-03T13:50:00Z</cp:lastPrinted>
  <dcterms:created xsi:type="dcterms:W3CDTF">2025-11-14T08:41:00Z</dcterms:created>
  <dcterms:modified xsi:type="dcterms:W3CDTF">2025-11-21T11:02:11Z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